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D24481">
            <w:pPr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</w:rPr>
              <w:t>毅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D2448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D2448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1973.9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D2448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2003.9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D24481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副教授，8年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D24481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D24481" w:rsidP="00D24481">
            <w:pPr>
              <w:ind w:leftChars="-1" w:left="-2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公</w:t>
            </w:r>
            <w:r>
              <w:rPr>
                <w:rFonts w:eastAsia="仿宋_GB2312"/>
                <w:sz w:val="24"/>
                <w:szCs w:val="24"/>
              </w:rPr>
              <w:t>共卫生与预防医学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遵纪守法，具有良好的品行和职业道德，具有良好的学术声誉、学术道德和合作精神（是</w:t>
            </w:r>
            <w:r w:rsidR="00D24481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D24481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D24481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D24481">
              <w:rPr>
                <w:rFonts w:eastAsia="仿宋_GB2312" w:cs="仿宋_GB2312" w:hint="eastAsia"/>
                <w:sz w:val="24"/>
                <w:szCs w:val="24"/>
                <w:u w:val="single"/>
              </w:rPr>
              <w:t>七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24481">
              <w:rPr>
                <w:rFonts w:eastAsia="仿宋_GB2312"/>
                <w:sz w:val="24"/>
                <w:szCs w:val="24"/>
                <w:u w:val="single"/>
              </w:rPr>
              <w:t>8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D24481">
              <w:rPr>
                <w:rFonts w:eastAsia="仿宋_GB2312" w:cs="仿宋_GB2312" w:hint="eastAsia"/>
                <w:sz w:val="24"/>
                <w:szCs w:val="24"/>
                <w:u w:val="single"/>
              </w:rPr>
              <w:t>六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proofErr w:type="gramEnd"/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proofErr w:type="gramStart"/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D24481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论文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11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篇（</w:t>
            </w:r>
            <w:proofErr w:type="gramStart"/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一</w:t>
            </w:r>
            <w:proofErr w:type="gramEnd"/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作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8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篇、通讯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篇；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SCI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共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8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篇其中二区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篇、核心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Pr="00D24481">
              <w:rPr>
                <w:rFonts w:eastAsia="仿宋_GB2312" w:hint="eastAsia"/>
                <w:sz w:val="24"/>
                <w:szCs w:val="24"/>
                <w:u w:val="single"/>
              </w:rPr>
              <w:t>篇）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 w:rsidR="00F4347B" w:rsidRDefault="00D24481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>B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 </w:t>
            </w:r>
          </w:p>
          <w:p w:rsidR="00F4347B" w:rsidRDefault="00D24481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1.</w:t>
            </w:r>
            <w:r>
              <w:rPr>
                <w:rFonts w:hint="eastAsia"/>
              </w:rPr>
              <w:t xml:space="preserve"> </w:t>
            </w:r>
            <w:r w:rsidRPr="00D24481">
              <w:rPr>
                <w:rFonts w:eastAsia="仿宋_GB2312" w:cs="仿宋_GB2312" w:hint="eastAsia"/>
                <w:sz w:val="24"/>
                <w:szCs w:val="24"/>
                <w:u w:val="single"/>
              </w:rPr>
              <w:t>省级成教精品资源课程建设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</w:t>
            </w:r>
            <w:r w:rsidR="00DB402D"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="00D24481">
              <w:rPr>
                <w:rFonts w:eastAsia="仿宋_GB2312"/>
                <w:sz w:val="24"/>
                <w:szCs w:val="24"/>
                <w:u w:val="single"/>
              </w:rPr>
              <w:t>2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. </w:t>
            </w:r>
            <w:proofErr w:type="gramStart"/>
            <w:r w:rsidR="00D24481" w:rsidRPr="00D24481">
              <w:rPr>
                <w:rFonts w:eastAsia="仿宋_GB2312" w:hint="eastAsia"/>
                <w:sz w:val="24"/>
                <w:szCs w:val="24"/>
                <w:u w:val="single"/>
              </w:rPr>
              <w:t>校级慕课《医学统计学》</w:t>
            </w:r>
            <w:proofErr w:type="gramEnd"/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="00D24481">
              <w:rPr>
                <w:rFonts w:eastAsia="仿宋_GB2312"/>
                <w:sz w:val="24"/>
                <w:szCs w:val="24"/>
                <w:u w:val="single"/>
              </w:rPr>
              <w:t>3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. </w:t>
            </w:r>
            <w:r w:rsidR="00D24481" w:rsidRPr="00D24481">
              <w:rPr>
                <w:rFonts w:eastAsia="仿宋_GB2312" w:hint="eastAsia"/>
                <w:sz w:val="24"/>
                <w:szCs w:val="24"/>
                <w:u w:val="single"/>
              </w:rPr>
              <w:t>指导学生申报并完成国家级大</w:t>
            </w:r>
            <w:proofErr w:type="gramStart"/>
            <w:r w:rsidR="00D24481" w:rsidRPr="00D24481">
              <w:rPr>
                <w:rFonts w:eastAsia="仿宋_GB2312" w:hint="eastAsia"/>
                <w:sz w:val="24"/>
                <w:szCs w:val="24"/>
                <w:u w:val="single"/>
              </w:rPr>
              <w:t>创项目</w:t>
            </w:r>
            <w:proofErr w:type="gramEnd"/>
            <w:r w:rsidR="00D24481" w:rsidRPr="00D24481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D24481" w:rsidRPr="00D24481"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Pr="00D24481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  <w:bookmarkStart w:id="0" w:name="_GoBack"/>
            <w:bookmarkEnd w:id="0"/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448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3D0AEC"/>
  <w15:docId w15:val="{62C28830-EBE1-46D4-B78D-DC0B022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Body Text"/>
    <w:basedOn w:val="a"/>
    <w:link w:val="a6"/>
    <w:uiPriority w:val="99"/>
    <w:pPr>
      <w:jc w:val="center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a9">
    <w:name w:val="Date"/>
    <w:basedOn w:val="a"/>
    <w:next w:val="a"/>
    <w:link w:val="aa"/>
    <w:uiPriority w:val="99"/>
  </w:style>
  <w:style w:type="paragraph" w:styleId="ab">
    <w:name w:val="Balloon Text"/>
    <w:basedOn w:val="a"/>
    <w:link w:val="ac"/>
    <w:uiPriority w:val="99"/>
    <w:semiHidden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1">
    <w:name w:val="page number"/>
    <w:basedOn w:val="a0"/>
    <w:uiPriority w:val="99"/>
    <w:qFormat/>
  </w:style>
  <w:style w:type="table" w:styleId="af2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 字符"/>
    <w:basedOn w:val="a0"/>
    <w:link w:val="a5"/>
    <w:uiPriority w:val="99"/>
    <w:semiHidden/>
    <w:locked/>
    <w:rPr>
      <w:sz w:val="21"/>
      <w:szCs w:val="21"/>
    </w:rPr>
  </w:style>
  <w:style w:type="character" w:customStyle="1" w:styleId="aa">
    <w:name w:val="日期 字符"/>
    <w:basedOn w:val="a0"/>
    <w:link w:val="a9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af0">
    <w:name w:val="页眉 字符"/>
    <w:basedOn w:val="a0"/>
    <w:link w:val="af"/>
    <w:uiPriority w:val="99"/>
    <w:qFormat/>
    <w:locked/>
    <w:rPr>
      <w:kern w:val="2"/>
      <w:sz w:val="18"/>
      <w:szCs w:val="18"/>
    </w:rPr>
  </w:style>
  <w:style w:type="character" w:customStyle="1" w:styleId="ae">
    <w:name w:val="页脚 字符"/>
    <w:basedOn w:val="a0"/>
    <w:link w:val="ad"/>
    <w:uiPriority w:val="99"/>
    <w:semiHidden/>
    <w:qFormat/>
    <w:locked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正文文本缩进 字符"/>
    <w:basedOn w:val="a0"/>
    <w:link w:val="a7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ac">
    <w:name w:val="批注框文本 字符"/>
    <w:basedOn w:val="a0"/>
    <w:link w:val="ab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149</Words>
  <Characters>853</Characters>
  <Application>Microsoft Office Word</Application>
  <DocSecurity>0</DocSecurity>
  <Lines>7</Lines>
  <Paragraphs>1</Paragraphs>
  <ScaleCrop>false</ScaleCrop>
  <Company>- BMTD -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12</cp:revision>
  <cp:lastPrinted>2019-03-15T01:00:00Z</cp:lastPrinted>
  <dcterms:created xsi:type="dcterms:W3CDTF">2019-03-18T03:36:00Z</dcterms:created>
  <dcterms:modified xsi:type="dcterms:W3CDTF">2019-04-22T10:47:00Z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